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charts/chart4.xml" ContentType="application/vnd.openxmlformats-officedocument.drawingml.chart+xml"/>
  <Override PartName="/word/charts/chart5.xml" ContentType="application/vnd.openxmlformats-officedocument.drawingml.chart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355B" w:rsidRDefault="00194F3A" w:rsidP="00194F3A">
      <w:pPr>
        <w:pStyle w:val="Titulek"/>
        <w:rPr>
          <w:b w:val="0"/>
        </w:rPr>
      </w:pPr>
      <w:r>
        <w:rPr>
          <w:noProof/>
          <w:lang w:eastAsia="cs-CZ"/>
        </w:rPr>
        <w:drawing>
          <wp:anchor distT="0" distB="0" distL="114300" distR="114300" simplePos="0" relativeHeight="251661312" behindDoc="0" locked="0" layoutInCell="1" allowOverlap="1" wp14:anchorId="0E0BB123" wp14:editId="719735AC">
            <wp:simplePos x="0" y="0"/>
            <wp:positionH relativeFrom="margin">
              <wp:align>center</wp:align>
            </wp:positionH>
            <wp:positionV relativeFrom="paragraph">
              <wp:posOffset>3776980</wp:posOffset>
            </wp:positionV>
            <wp:extent cx="5619115" cy="3200400"/>
            <wp:effectExtent l="0" t="0" r="19685" b="19050"/>
            <wp:wrapSquare wrapText="bothSides"/>
            <wp:docPr id="22" name="Graf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6"/>
              </a:graphicData>
            </a:graphic>
          </wp:anchor>
        </w:drawing>
      </w:r>
      <w:r>
        <w:t xml:space="preserve">Obrázek </w:t>
      </w:r>
      <w:fldSimple w:instr=" SEQ Obrázek \* ARABIC ">
        <w:r>
          <w:rPr>
            <w:noProof/>
          </w:rPr>
          <w:t>1</w:t>
        </w:r>
      </w:fldSimple>
      <w:r>
        <w:rPr>
          <w:noProof/>
          <w:lang w:eastAsia="cs-CZ"/>
        </w:rPr>
        <w:drawing>
          <wp:anchor distT="0" distB="0" distL="114300" distR="114300" simplePos="0" relativeHeight="251659264" behindDoc="0" locked="0" layoutInCell="1" allowOverlap="1" wp14:anchorId="6BEA8331" wp14:editId="1EB7D8FA">
            <wp:simplePos x="0" y="0"/>
            <wp:positionH relativeFrom="margin">
              <wp:align>center</wp:align>
            </wp:positionH>
            <wp:positionV relativeFrom="margin">
              <wp:align>top</wp:align>
            </wp:positionV>
            <wp:extent cx="5619115" cy="3200400"/>
            <wp:effectExtent l="0" t="0" r="19685" b="19050"/>
            <wp:wrapSquare wrapText="bothSides"/>
            <wp:docPr id="21" name="Graf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</wp:anchor>
        </w:drawing>
      </w:r>
      <w:r>
        <w:t xml:space="preserve"> </w:t>
      </w:r>
      <w:r>
        <w:rPr>
          <w:b w:val="0"/>
        </w:rPr>
        <w:t>Graf četnosti</w:t>
      </w:r>
      <w:r w:rsidRPr="00443434">
        <w:rPr>
          <w:b w:val="0"/>
        </w:rPr>
        <w:t xml:space="preserve"> zásahů přes den</w:t>
      </w:r>
    </w:p>
    <w:p w:rsidR="00194F3A" w:rsidRDefault="00194F3A" w:rsidP="00194F3A"/>
    <w:p w:rsidR="00194F3A" w:rsidRDefault="00194F3A" w:rsidP="00194F3A">
      <w:pPr>
        <w:pStyle w:val="Titulek"/>
        <w:rPr>
          <w:b w:val="0"/>
        </w:rPr>
      </w:pPr>
      <w:r>
        <w:t xml:space="preserve">Obrázek </w:t>
      </w:r>
      <w:fldSimple w:instr=" SEQ Obrázek \* ARABIC ">
        <w:r>
          <w:rPr>
            <w:noProof/>
          </w:rPr>
          <w:t>2</w:t>
        </w:r>
      </w:fldSimple>
      <w:r>
        <w:t xml:space="preserve"> </w:t>
      </w:r>
      <w:r>
        <w:rPr>
          <w:b w:val="0"/>
        </w:rPr>
        <w:t>Graf četnosti</w:t>
      </w:r>
      <w:r w:rsidRPr="00443434">
        <w:rPr>
          <w:b w:val="0"/>
        </w:rPr>
        <w:t xml:space="preserve"> zásahů přes </w:t>
      </w:r>
      <w:r>
        <w:rPr>
          <w:b w:val="0"/>
        </w:rPr>
        <w:t>noc</w:t>
      </w:r>
    </w:p>
    <w:p w:rsidR="00194F3A" w:rsidRDefault="00194F3A">
      <w:r>
        <w:br w:type="page"/>
      </w:r>
    </w:p>
    <w:p w:rsidR="00194F3A" w:rsidRDefault="00194F3A" w:rsidP="00194F3A">
      <w:pPr>
        <w:pStyle w:val="Titulek"/>
        <w:rPr>
          <w:b w:val="0"/>
        </w:rPr>
      </w:pPr>
      <w:r>
        <w:rPr>
          <w:noProof/>
          <w:lang w:eastAsia="cs-CZ"/>
        </w:rPr>
        <w:lastRenderedPageBreak/>
        <w:drawing>
          <wp:anchor distT="0" distB="0" distL="114300" distR="114300" simplePos="0" relativeHeight="251665408" behindDoc="0" locked="0" layoutInCell="1" allowOverlap="1" wp14:anchorId="2DB8B32C" wp14:editId="21BE7D53">
            <wp:simplePos x="0" y="0"/>
            <wp:positionH relativeFrom="margin">
              <wp:align>center</wp:align>
            </wp:positionH>
            <wp:positionV relativeFrom="paragraph">
              <wp:posOffset>3691255</wp:posOffset>
            </wp:positionV>
            <wp:extent cx="5619115" cy="3200400"/>
            <wp:effectExtent l="0" t="0" r="19685" b="19050"/>
            <wp:wrapSquare wrapText="bothSides"/>
            <wp:docPr id="23" name="Graf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anchor>
        </w:drawing>
      </w:r>
      <w:r>
        <w:t xml:space="preserve">Obrázek </w:t>
      </w:r>
      <w:fldSimple w:instr=" SEQ Obrázek \* ARABIC ">
        <w:r>
          <w:rPr>
            <w:noProof/>
          </w:rPr>
          <w:t>3</w:t>
        </w:r>
      </w:fldSimple>
      <w:r>
        <w:rPr>
          <w:noProof/>
          <w:lang w:eastAsia="cs-CZ"/>
        </w:rPr>
        <w:drawing>
          <wp:anchor distT="0" distB="0" distL="114300" distR="114300" simplePos="0" relativeHeight="251663360" behindDoc="0" locked="0" layoutInCell="1" allowOverlap="1" wp14:anchorId="5177F838" wp14:editId="027A6D1D">
            <wp:simplePos x="0" y="0"/>
            <wp:positionH relativeFrom="margin">
              <wp:align>center</wp:align>
            </wp:positionH>
            <wp:positionV relativeFrom="margin">
              <wp:align>top</wp:align>
            </wp:positionV>
            <wp:extent cx="5619115" cy="3200400"/>
            <wp:effectExtent l="0" t="0" r="19685" b="19050"/>
            <wp:wrapSquare wrapText="bothSides"/>
            <wp:docPr id="10" name="Graf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anchor>
        </w:drawing>
      </w:r>
      <w:r>
        <w:t xml:space="preserve"> </w:t>
      </w:r>
      <w:r>
        <w:rPr>
          <w:b w:val="0"/>
        </w:rPr>
        <w:t>Graf četnosti</w:t>
      </w:r>
      <w:r w:rsidRPr="00E1571D">
        <w:rPr>
          <w:b w:val="0"/>
        </w:rPr>
        <w:t xml:space="preserve"> zásahů za 24 hod</w:t>
      </w:r>
      <w:r>
        <w:rPr>
          <w:b w:val="0"/>
        </w:rPr>
        <w:t>in</w:t>
      </w:r>
    </w:p>
    <w:p w:rsidR="00194F3A" w:rsidRDefault="00194F3A" w:rsidP="00194F3A"/>
    <w:p w:rsidR="00194F3A" w:rsidRDefault="00194F3A" w:rsidP="00194F3A">
      <w:pPr>
        <w:pStyle w:val="Titulek"/>
        <w:rPr>
          <w:b w:val="0"/>
        </w:rPr>
      </w:pPr>
      <w:r>
        <w:t xml:space="preserve">Obrázek </w:t>
      </w:r>
      <w:fldSimple w:instr=" SEQ Obrázek \* ARABIC ">
        <w:r>
          <w:rPr>
            <w:noProof/>
          </w:rPr>
          <w:t>4</w:t>
        </w:r>
      </w:fldSimple>
      <w:r>
        <w:t xml:space="preserve"> </w:t>
      </w:r>
      <w:r>
        <w:rPr>
          <w:b w:val="0"/>
        </w:rPr>
        <w:t>Graf četnosti</w:t>
      </w:r>
      <w:r w:rsidRPr="00790536">
        <w:rPr>
          <w:b w:val="0"/>
        </w:rPr>
        <w:t xml:space="preserve"> povah řešeného stavu</w:t>
      </w:r>
    </w:p>
    <w:p w:rsidR="00194F3A" w:rsidRDefault="00194F3A">
      <w:r>
        <w:br w:type="page"/>
      </w:r>
    </w:p>
    <w:p w:rsidR="00194F3A" w:rsidRDefault="00194F3A" w:rsidP="00194F3A">
      <w:pPr>
        <w:pStyle w:val="Titulek"/>
        <w:rPr>
          <w:b w:val="0"/>
        </w:rPr>
      </w:pPr>
      <w:r>
        <w:lastRenderedPageBreak/>
        <w:t xml:space="preserve">Obrázek </w:t>
      </w:r>
      <w:fldSimple w:instr=" SEQ Obrázek \* ARABIC ">
        <w:r>
          <w:rPr>
            <w:noProof/>
          </w:rPr>
          <w:t>5</w:t>
        </w:r>
      </w:fldSimple>
      <w:r>
        <w:rPr>
          <w:noProof/>
          <w:lang w:eastAsia="cs-CZ"/>
        </w:rPr>
        <w:drawing>
          <wp:anchor distT="0" distB="0" distL="114300" distR="114300" simplePos="0" relativeHeight="251667456" behindDoc="0" locked="0" layoutInCell="1" allowOverlap="1" wp14:anchorId="55F2CD28" wp14:editId="5EB55770">
            <wp:simplePos x="0" y="0"/>
            <wp:positionH relativeFrom="margin">
              <wp:align>center</wp:align>
            </wp:positionH>
            <wp:positionV relativeFrom="margin">
              <wp:align>top</wp:align>
            </wp:positionV>
            <wp:extent cx="5619115" cy="3200400"/>
            <wp:effectExtent l="0" t="0" r="19685" b="19050"/>
            <wp:wrapSquare wrapText="bothSides"/>
            <wp:docPr id="24" name="Graf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anchor>
        </w:drawing>
      </w:r>
      <w:r>
        <w:t xml:space="preserve"> </w:t>
      </w:r>
      <w:r>
        <w:rPr>
          <w:b w:val="0"/>
        </w:rPr>
        <w:t>Graf četnosti</w:t>
      </w:r>
      <w:r w:rsidRPr="008E6AE3">
        <w:rPr>
          <w:b w:val="0"/>
        </w:rPr>
        <w:t xml:space="preserve"> skóre (NACA)</w:t>
      </w:r>
    </w:p>
    <w:p w:rsidR="00194F3A" w:rsidRDefault="00194F3A" w:rsidP="00194F3A"/>
    <w:p w:rsidR="00194F3A" w:rsidRPr="00194F3A" w:rsidRDefault="00194F3A" w:rsidP="00194F3A">
      <w:bookmarkStart w:id="0" w:name="_GoBack"/>
      <w:bookmarkEnd w:id="0"/>
    </w:p>
    <w:sectPr w:rsidR="00194F3A" w:rsidRPr="00194F3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4F3A"/>
    <w:rsid w:val="000A6807"/>
    <w:rsid w:val="00194F3A"/>
    <w:rsid w:val="002F7280"/>
    <w:rsid w:val="004254BB"/>
    <w:rsid w:val="00C87865"/>
    <w:rsid w:val="00CA0C66"/>
    <w:rsid w:val="00D700E2"/>
    <w:rsid w:val="00E135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itulek">
    <w:name w:val="caption"/>
    <w:basedOn w:val="Normln"/>
    <w:next w:val="Normln"/>
    <w:uiPriority w:val="35"/>
    <w:unhideWhenUsed/>
    <w:qFormat/>
    <w:rsid w:val="00194F3A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itulek">
    <w:name w:val="caption"/>
    <w:basedOn w:val="Normln"/>
    <w:next w:val="Normln"/>
    <w:uiPriority w:val="35"/>
    <w:unhideWhenUsed/>
    <w:qFormat/>
    <w:rsid w:val="00194F3A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3.xml"/><Relationship Id="rId3" Type="http://schemas.microsoft.com/office/2007/relationships/stylesWithEffects" Target="stylesWithEffects.xml"/><Relationship Id="rId7" Type="http://schemas.openxmlformats.org/officeDocument/2006/relationships/chart" Target="charts/chart2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chart" Target="charts/chart1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chart" Target="charts/chart5.xml"/><Relationship Id="rId4" Type="http://schemas.openxmlformats.org/officeDocument/2006/relationships/settings" Target="settings.xml"/><Relationship Id="rId9" Type="http://schemas.openxmlformats.org/officeDocument/2006/relationships/chart" Target="charts/chart4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List_aplikace_Microsoft_Excel1.xlsx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List_aplikace_Microsoft_Excel2.xlsx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List_aplikace_Microsoft_Excel3.xlsx"/></Relationships>
</file>

<file path=word/charts/_rels/chart4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List_aplikace_Microsoft_Excel4.xlsx"/></Relationships>
</file>

<file path=word/charts/_rels/chart5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List_aplikace_Microsoft_Excel5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cs-CZ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view3D>
      <c:rotX val="15"/>
      <c:rotY val="20"/>
      <c:rAngAx val="1"/>
    </c:view3D>
    <c:floor>
      <c:thickness val="0"/>
    </c:floor>
    <c:sideWall>
      <c:thickness val="0"/>
    </c:sideWall>
    <c:backWall>
      <c:thickness val="0"/>
    </c:backWall>
    <c:plotArea>
      <c:layout>
        <c:manualLayout>
          <c:layoutTarget val="inner"/>
          <c:xMode val="edge"/>
          <c:yMode val="edge"/>
          <c:x val="8.2428708235794859E-2"/>
          <c:y val="0.13962473440819897"/>
          <c:w val="0.89210842732496276"/>
          <c:h val="0.64733595800524935"/>
        </c:manualLayout>
      </c:layout>
      <c:bar3DChart>
        <c:barDir val="col"/>
        <c:grouping val="clustered"/>
        <c:varyColors val="0"/>
        <c:ser>
          <c:idx val="0"/>
          <c:order val="0"/>
          <c:tx>
            <c:strRef>
              <c:f>List1!$B$1</c:f>
              <c:strCache>
                <c:ptCount val="1"/>
                <c:pt idx="0">
                  <c:v>Primární lety</c:v>
                </c:pt>
              </c:strCache>
            </c:strRef>
          </c:tx>
          <c:invertIfNegative val="0"/>
          <c:dLbls>
            <c:dLbl>
              <c:idx val="0"/>
              <c:layout>
                <c:manualLayout>
                  <c:x val="1.3888841926175212E-2"/>
                  <c:y val="-1.190476190476191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1.3888663962207571E-2"/>
                  <c:y val="-1.5873015873015879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1.8627844420340215E-2"/>
                  <c:y val="3.9679415073115903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2.642764919386773E-3"/>
                  <c:y val="-1.5873015873015879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-4.6296296296297014E-3"/>
                  <c:y val="-1.190476190476192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txPr>
              <a:bodyPr/>
              <a:lstStyle/>
              <a:p>
                <a:pPr>
                  <a:defRPr sz="1100" b="1"/>
                </a:pPr>
                <a:endParaRPr lang="cs-CZ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List1!$A$2:$A$5</c:f>
              <c:strCache>
                <c:ptCount val="4"/>
                <c:pt idx="0">
                  <c:v>A</c:v>
                </c:pt>
                <c:pt idx="1">
                  <c:v>B</c:v>
                </c:pt>
                <c:pt idx="2">
                  <c:v>C</c:v>
                </c:pt>
                <c:pt idx="3">
                  <c:v>D</c:v>
                </c:pt>
              </c:strCache>
            </c:strRef>
          </c:cat>
          <c:val>
            <c:numRef>
              <c:f>List1!$B$2:$B$5</c:f>
              <c:numCache>
                <c:formatCode>0%</c:formatCode>
                <c:ptCount val="4"/>
                <c:pt idx="0">
                  <c:v>0.51</c:v>
                </c:pt>
                <c:pt idx="1">
                  <c:v>0.51</c:v>
                </c:pt>
                <c:pt idx="2">
                  <c:v>0.85</c:v>
                </c:pt>
                <c:pt idx="3">
                  <c:v>0.3</c:v>
                </c:pt>
              </c:numCache>
            </c:numRef>
          </c:val>
        </c:ser>
        <c:ser>
          <c:idx val="1"/>
          <c:order val="1"/>
          <c:tx>
            <c:strRef>
              <c:f>List1!$C$1</c:f>
              <c:strCache>
                <c:ptCount val="1"/>
                <c:pt idx="0">
                  <c:v>Sekundární lety</c:v>
                </c:pt>
              </c:strCache>
            </c:strRef>
          </c:tx>
          <c:invertIfNegative val="0"/>
          <c:dLbls>
            <c:dLbl>
              <c:idx val="0"/>
              <c:layout>
                <c:manualLayout>
                  <c:x val="2.1106704525534724E-2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2.7777861816318052E-2"/>
                  <c:y val="3.9682539682539706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2.5314128648372576E-2"/>
                  <c:y val="-7.9368203974503251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1.8627844420340215E-2"/>
                  <c:y val="-1.1905074365704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1.6203703703703727E-2"/>
                  <c:y val="-1.5873015873015879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txPr>
              <a:bodyPr/>
              <a:lstStyle/>
              <a:p>
                <a:pPr>
                  <a:defRPr sz="1100" b="1"/>
                </a:pPr>
                <a:endParaRPr lang="cs-CZ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List1!$A$2:$A$5</c:f>
              <c:strCache>
                <c:ptCount val="4"/>
                <c:pt idx="0">
                  <c:v>A</c:v>
                </c:pt>
                <c:pt idx="1">
                  <c:v>B</c:v>
                </c:pt>
                <c:pt idx="2">
                  <c:v>C</c:v>
                </c:pt>
                <c:pt idx="3">
                  <c:v>D</c:v>
                </c:pt>
              </c:strCache>
            </c:strRef>
          </c:cat>
          <c:val>
            <c:numRef>
              <c:f>List1!$C$2:$C$5</c:f>
              <c:numCache>
                <c:formatCode>0%</c:formatCode>
                <c:ptCount val="4"/>
                <c:pt idx="0">
                  <c:v>0.43</c:v>
                </c:pt>
                <c:pt idx="1">
                  <c:v>0.46</c:v>
                </c:pt>
                <c:pt idx="2">
                  <c:v>0.15</c:v>
                </c:pt>
                <c:pt idx="3">
                  <c:v>0.61</c:v>
                </c:pt>
              </c:numCache>
            </c:numRef>
          </c:val>
        </c:ser>
        <c:ser>
          <c:idx val="2"/>
          <c:order val="2"/>
          <c:tx>
            <c:strRef>
              <c:f>List1!$D$1</c:f>
              <c:strCache>
                <c:ptCount val="1"/>
                <c:pt idx="0">
                  <c:v>Ambulanční lety</c:v>
                </c:pt>
              </c:strCache>
            </c:strRef>
          </c:tx>
          <c:invertIfNegative val="0"/>
          <c:dLbls>
            <c:dLbl>
              <c:idx val="0"/>
              <c:layout>
                <c:manualLayout>
                  <c:x val="2.0833351871246644E-2"/>
                  <c:y val="-3.9682539682539706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2.0833351871246644E-2"/>
                  <c:y val="-7.9365079365079413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1.6313067093305621E-2"/>
                  <c:y val="-7.9365079365079413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1.6367702031369721E-2"/>
                  <c:y val="-2.3809523809523812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2.0833333333333412E-2"/>
                  <c:y val="-3.174603174603174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txPr>
              <a:bodyPr/>
              <a:lstStyle/>
              <a:p>
                <a:pPr>
                  <a:defRPr sz="1100" b="1"/>
                </a:pPr>
                <a:endParaRPr lang="cs-CZ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List1!$A$2:$A$5</c:f>
              <c:strCache>
                <c:ptCount val="4"/>
                <c:pt idx="0">
                  <c:v>A</c:v>
                </c:pt>
                <c:pt idx="1">
                  <c:v>B</c:v>
                </c:pt>
                <c:pt idx="2">
                  <c:v>C</c:v>
                </c:pt>
                <c:pt idx="3">
                  <c:v>D</c:v>
                </c:pt>
              </c:strCache>
            </c:strRef>
          </c:cat>
          <c:val>
            <c:numRef>
              <c:f>List1!$D$2:$D$5</c:f>
              <c:numCache>
                <c:formatCode>0%</c:formatCode>
                <c:ptCount val="4"/>
                <c:pt idx="0">
                  <c:v>0.06</c:v>
                </c:pt>
                <c:pt idx="1">
                  <c:v>0.03</c:v>
                </c:pt>
                <c:pt idx="2">
                  <c:v>0</c:v>
                </c:pt>
                <c:pt idx="3">
                  <c:v>0.09</c:v>
                </c:pt>
              </c:numCache>
            </c:numRef>
          </c:val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shape val="box"/>
        <c:axId val="206570240"/>
        <c:axId val="215741568"/>
        <c:axId val="0"/>
      </c:bar3DChart>
      <c:catAx>
        <c:axId val="206570240"/>
        <c:scaling>
          <c:orientation val="minMax"/>
        </c:scaling>
        <c:delete val="0"/>
        <c:axPos val="b"/>
        <c:title>
          <c:tx>
            <c:rich>
              <a:bodyPr/>
              <a:lstStyle/>
              <a:p>
                <a:pPr>
                  <a:defRPr sz="1100"/>
                </a:pPr>
                <a:r>
                  <a:rPr lang="cs-CZ" sz="1100"/>
                  <a:t>Letecká záchranná služba</a:t>
                </a:r>
              </a:p>
            </c:rich>
          </c:tx>
          <c:overlay val="0"/>
        </c:title>
        <c:majorTickMark val="out"/>
        <c:minorTickMark val="none"/>
        <c:tickLblPos val="nextTo"/>
        <c:txPr>
          <a:bodyPr/>
          <a:lstStyle/>
          <a:p>
            <a:pPr>
              <a:defRPr b="1"/>
            </a:pPr>
            <a:endParaRPr lang="cs-CZ"/>
          </a:p>
        </c:txPr>
        <c:crossAx val="215741568"/>
        <c:crosses val="autoZero"/>
        <c:auto val="1"/>
        <c:lblAlgn val="ctr"/>
        <c:lblOffset val="100"/>
        <c:noMultiLvlLbl val="0"/>
      </c:catAx>
      <c:valAx>
        <c:axId val="215741568"/>
        <c:scaling>
          <c:orientation val="minMax"/>
        </c:scaling>
        <c:delete val="0"/>
        <c:axPos val="l"/>
        <c:majorGridlines/>
        <c:title>
          <c:tx>
            <c:rich>
              <a:bodyPr rot="0" vert="horz"/>
              <a:lstStyle/>
              <a:p>
                <a:pPr>
                  <a:defRPr/>
                </a:pPr>
                <a:r>
                  <a:rPr lang="cs-CZ"/>
                  <a:t>Relativní četnost</a:t>
                </a:r>
              </a:p>
            </c:rich>
          </c:tx>
          <c:layout>
            <c:manualLayout>
              <c:xMode val="edge"/>
              <c:yMode val="edge"/>
              <c:x val="1.8289406532516775E-2"/>
              <c:y val="2.6138920134983156E-2"/>
            </c:manualLayout>
          </c:layout>
          <c:overlay val="0"/>
        </c:title>
        <c:numFmt formatCode="0%" sourceLinked="1"/>
        <c:majorTickMark val="out"/>
        <c:minorTickMark val="none"/>
        <c:tickLblPos val="nextTo"/>
        <c:txPr>
          <a:bodyPr/>
          <a:lstStyle/>
          <a:p>
            <a:pPr>
              <a:defRPr b="1"/>
            </a:pPr>
            <a:endParaRPr lang="cs-CZ"/>
          </a:p>
        </c:txPr>
        <c:crossAx val="206570240"/>
        <c:crosses val="autoZero"/>
        <c:crossBetween val="between"/>
      </c:valAx>
    </c:plotArea>
    <c:legend>
      <c:legendPos val="t"/>
      <c:overlay val="0"/>
      <c:txPr>
        <a:bodyPr/>
        <a:lstStyle/>
        <a:p>
          <a:pPr>
            <a:defRPr sz="1100" b="1"/>
          </a:pPr>
          <a:endParaRPr lang="cs-CZ"/>
        </a:p>
      </c:txPr>
    </c:legend>
    <c:plotVisOnly val="1"/>
    <c:dispBlanksAs val="gap"/>
    <c:showDLblsOverMax val="0"/>
  </c:chart>
  <c:spPr>
    <a:ln w="15875"/>
  </c:spPr>
  <c:externalData r:id="rId1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cs-CZ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view3D>
      <c:rotX val="15"/>
      <c:rotY val="20"/>
      <c:rAngAx val="1"/>
    </c:view3D>
    <c:floor>
      <c:thickness val="0"/>
    </c:floor>
    <c:sideWall>
      <c:thickness val="0"/>
    </c:sideWall>
    <c:backWall>
      <c:thickness val="0"/>
    </c:backWall>
    <c:plotArea>
      <c:layout>
        <c:manualLayout>
          <c:layoutTarget val="inner"/>
          <c:xMode val="edge"/>
          <c:yMode val="edge"/>
          <c:x val="8.2160011088903487E-2"/>
          <c:y val="0.13962473440819897"/>
          <c:w val="0.8923770048335099"/>
          <c:h val="0.64733595800524935"/>
        </c:manualLayout>
      </c:layout>
      <c:bar3DChart>
        <c:barDir val="col"/>
        <c:grouping val="clustered"/>
        <c:varyColors val="0"/>
        <c:ser>
          <c:idx val="0"/>
          <c:order val="0"/>
          <c:tx>
            <c:strRef>
              <c:f>List1!$B$1</c:f>
              <c:strCache>
                <c:ptCount val="1"/>
                <c:pt idx="0">
                  <c:v>Primární lety</c:v>
                </c:pt>
              </c:strCache>
            </c:strRef>
          </c:tx>
          <c:invertIfNegative val="0"/>
          <c:dLbls>
            <c:dLbl>
              <c:idx val="0"/>
              <c:layout>
                <c:manualLayout>
                  <c:x val="2.0887808845343098E-2"/>
                  <c:y val="1.8187620582885754E-17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2.0442720962286765E-2"/>
                  <c:y val="-2.3809523809523812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2.3148148148148147E-2"/>
                  <c:y val="-7.9365079365079413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-4.137662247524666E-3"/>
                  <c:y val="-1.190476190476191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txPr>
              <a:bodyPr/>
              <a:lstStyle/>
              <a:p>
                <a:pPr>
                  <a:defRPr sz="1100" b="1"/>
                </a:pPr>
                <a:endParaRPr lang="cs-CZ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List1!$A$2:$A$5</c:f>
              <c:strCache>
                <c:ptCount val="4"/>
                <c:pt idx="0">
                  <c:v>A</c:v>
                </c:pt>
                <c:pt idx="1">
                  <c:v>B</c:v>
                </c:pt>
                <c:pt idx="2">
                  <c:v>C</c:v>
                </c:pt>
                <c:pt idx="3">
                  <c:v>D</c:v>
                </c:pt>
              </c:strCache>
            </c:strRef>
          </c:cat>
          <c:val>
            <c:numRef>
              <c:f>List1!$B$2:$B$5</c:f>
              <c:numCache>
                <c:formatCode>0%</c:formatCode>
                <c:ptCount val="4"/>
                <c:pt idx="0">
                  <c:v>0.83</c:v>
                </c:pt>
                <c:pt idx="1">
                  <c:v>0.69</c:v>
                </c:pt>
                <c:pt idx="2">
                  <c:v>0.84</c:v>
                </c:pt>
                <c:pt idx="3">
                  <c:v>0.41</c:v>
                </c:pt>
              </c:numCache>
            </c:numRef>
          </c:val>
        </c:ser>
        <c:ser>
          <c:idx val="1"/>
          <c:order val="1"/>
          <c:tx>
            <c:strRef>
              <c:f>List1!$C$1</c:f>
              <c:strCache>
                <c:ptCount val="1"/>
                <c:pt idx="0">
                  <c:v>Sekundární lety</c:v>
                </c:pt>
              </c:strCache>
            </c:strRef>
          </c:tx>
          <c:invertIfNegative val="0"/>
          <c:dLbls>
            <c:dLbl>
              <c:idx val="0"/>
              <c:layout>
                <c:manualLayout>
                  <c:x val="2.31481291982812E-2"/>
                  <c:y val="-3.9682539682539706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2.0942621747374809E-2"/>
                  <c:y val="-1.190476190476191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1.8682301394436683E-2"/>
                  <c:y val="3.9682539682539706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2.0887986809310744E-2"/>
                  <c:y val="-1.190476190476191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1.8518518518518583E-2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txPr>
              <a:bodyPr/>
              <a:lstStyle/>
              <a:p>
                <a:pPr>
                  <a:defRPr sz="1100" b="1"/>
                </a:pPr>
                <a:endParaRPr lang="cs-CZ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List1!$A$2:$A$5</c:f>
              <c:strCache>
                <c:ptCount val="4"/>
                <c:pt idx="0">
                  <c:v>A</c:v>
                </c:pt>
                <c:pt idx="1">
                  <c:v>B</c:v>
                </c:pt>
                <c:pt idx="2">
                  <c:v>C</c:v>
                </c:pt>
                <c:pt idx="3">
                  <c:v>D</c:v>
                </c:pt>
              </c:strCache>
            </c:strRef>
          </c:cat>
          <c:val>
            <c:numRef>
              <c:f>List1!$C$2:$C$5</c:f>
              <c:numCache>
                <c:formatCode>0%</c:formatCode>
                <c:ptCount val="4"/>
                <c:pt idx="0">
                  <c:v>0.15</c:v>
                </c:pt>
                <c:pt idx="1">
                  <c:v>0.3</c:v>
                </c:pt>
                <c:pt idx="2">
                  <c:v>0.16</c:v>
                </c:pt>
                <c:pt idx="3">
                  <c:v>0.53</c:v>
                </c:pt>
              </c:numCache>
            </c:numRef>
          </c:val>
        </c:ser>
        <c:ser>
          <c:idx val="2"/>
          <c:order val="2"/>
          <c:tx>
            <c:strRef>
              <c:f>List1!$D$1</c:f>
              <c:strCache>
                <c:ptCount val="1"/>
                <c:pt idx="0">
                  <c:v>Ambulanční lety</c:v>
                </c:pt>
              </c:strCache>
            </c:strRef>
          </c:tx>
          <c:invertIfNegative val="0"/>
          <c:dLbls>
            <c:dLbl>
              <c:idx val="0"/>
              <c:layout>
                <c:manualLayout>
                  <c:x val="1.6313067093305621E-2"/>
                  <c:y val="-1.984126984126985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2.0833333333333412E-2"/>
                  <c:y val="-1.5873015873015879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2.0833333333333412E-2"/>
                  <c:y val="-1.5873015873015879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2.31481291982812E-2"/>
                  <c:y val="-3.968253968253961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2.0833333333333412E-2"/>
                  <c:y val="-3.174603174603174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txPr>
              <a:bodyPr/>
              <a:lstStyle/>
              <a:p>
                <a:pPr>
                  <a:defRPr sz="1100" b="1"/>
                </a:pPr>
                <a:endParaRPr lang="cs-CZ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List1!$A$2:$A$5</c:f>
              <c:strCache>
                <c:ptCount val="4"/>
                <c:pt idx="0">
                  <c:v>A</c:v>
                </c:pt>
                <c:pt idx="1">
                  <c:v>B</c:v>
                </c:pt>
                <c:pt idx="2">
                  <c:v>C</c:v>
                </c:pt>
                <c:pt idx="3">
                  <c:v>D</c:v>
                </c:pt>
              </c:strCache>
            </c:strRef>
          </c:cat>
          <c:val>
            <c:numRef>
              <c:f>List1!$D$2:$D$5</c:f>
              <c:numCache>
                <c:formatCode>0%</c:formatCode>
                <c:ptCount val="4"/>
                <c:pt idx="0">
                  <c:v>0.02</c:v>
                </c:pt>
                <c:pt idx="1">
                  <c:v>0.01</c:v>
                </c:pt>
                <c:pt idx="2">
                  <c:v>0</c:v>
                </c:pt>
                <c:pt idx="3">
                  <c:v>0.06</c:v>
                </c:pt>
              </c:numCache>
            </c:numRef>
          </c:val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shape val="box"/>
        <c:axId val="214420096"/>
        <c:axId val="214909696"/>
        <c:axId val="0"/>
      </c:bar3DChart>
      <c:catAx>
        <c:axId val="214420096"/>
        <c:scaling>
          <c:orientation val="minMax"/>
        </c:scaling>
        <c:delete val="0"/>
        <c:axPos val="b"/>
        <c:title>
          <c:tx>
            <c:rich>
              <a:bodyPr/>
              <a:lstStyle/>
              <a:p>
                <a:pPr>
                  <a:defRPr sz="1100"/>
                </a:pPr>
                <a:r>
                  <a:rPr lang="cs-CZ" sz="1100"/>
                  <a:t>Letecká záchranná služba</a:t>
                </a:r>
              </a:p>
            </c:rich>
          </c:tx>
          <c:overlay val="0"/>
        </c:title>
        <c:majorTickMark val="out"/>
        <c:minorTickMark val="none"/>
        <c:tickLblPos val="nextTo"/>
        <c:txPr>
          <a:bodyPr/>
          <a:lstStyle/>
          <a:p>
            <a:pPr>
              <a:defRPr b="1"/>
            </a:pPr>
            <a:endParaRPr lang="cs-CZ"/>
          </a:p>
        </c:txPr>
        <c:crossAx val="214909696"/>
        <c:crosses val="autoZero"/>
        <c:auto val="1"/>
        <c:lblAlgn val="ctr"/>
        <c:lblOffset val="100"/>
        <c:noMultiLvlLbl val="0"/>
      </c:catAx>
      <c:valAx>
        <c:axId val="214909696"/>
        <c:scaling>
          <c:orientation val="minMax"/>
        </c:scaling>
        <c:delete val="0"/>
        <c:axPos val="l"/>
        <c:majorGridlines/>
        <c:title>
          <c:tx>
            <c:rich>
              <a:bodyPr rot="0" vert="horz"/>
              <a:lstStyle/>
              <a:p>
                <a:pPr>
                  <a:defRPr/>
                </a:pPr>
                <a:r>
                  <a:rPr lang="cs-CZ"/>
                  <a:t>Relativní četnost</a:t>
                </a:r>
              </a:p>
            </c:rich>
          </c:tx>
          <c:layout>
            <c:manualLayout>
              <c:xMode val="edge"/>
              <c:yMode val="edge"/>
              <c:x val="1.8289406532516771E-2"/>
              <c:y val="2.6138920134983149E-2"/>
            </c:manualLayout>
          </c:layout>
          <c:overlay val="0"/>
        </c:title>
        <c:numFmt formatCode="0%" sourceLinked="1"/>
        <c:majorTickMark val="out"/>
        <c:minorTickMark val="none"/>
        <c:tickLblPos val="nextTo"/>
        <c:txPr>
          <a:bodyPr/>
          <a:lstStyle/>
          <a:p>
            <a:pPr>
              <a:defRPr b="1"/>
            </a:pPr>
            <a:endParaRPr lang="cs-CZ"/>
          </a:p>
        </c:txPr>
        <c:crossAx val="214420096"/>
        <c:crosses val="autoZero"/>
        <c:crossBetween val="between"/>
      </c:valAx>
    </c:plotArea>
    <c:legend>
      <c:legendPos val="t"/>
      <c:overlay val="0"/>
      <c:txPr>
        <a:bodyPr/>
        <a:lstStyle/>
        <a:p>
          <a:pPr>
            <a:defRPr sz="1100" b="1"/>
          </a:pPr>
          <a:endParaRPr lang="cs-CZ"/>
        </a:p>
      </c:txPr>
    </c:legend>
    <c:plotVisOnly val="1"/>
    <c:dispBlanksAs val="gap"/>
    <c:showDLblsOverMax val="0"/>
  </c:chart>
  <c:spPr>
    <a:ln w="15875"/>
  </c:spPr>
  <c:externalData r:id="rId1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cs-CZ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view3D>
      <c:rotX val="15"/>
      <c:rotY val="20"/>
      <c:rAngAx val="1"/>
    </c:view3D>
    <c:floor>
      <c:thickness val="0"/>
    </c:floor>
    <c:sideWall>
      <c:thickness val="0"/>
    </c:sideWall>
    <c:backWall>
      <c:thickness val="0"/>
    </c:backWall>
    <c:plotArea>
      <c:layout>
        <c:manualLayout>
          <c:layoutTarget val="inner"/>
          <c:xMode val="edge"/>
          <c:yMode val="edge"/>
          <c:x val="7.4162872498080595E-2"/>
          <c:y val="0.17533902012248731"/>
          <c:w val="0.90602942489331695"/>
          <c:h val="0.59890357455318965"/>
        </c:manualLayout>
      </c:layout>
      <c:bar3DChart>
        <c:barDir val="col"/>
        <c:grouping val="clustered"/>
        <c:varyColors val="0"/>
        <c:ser>
          <c:idx val="0"/>
          <c:order val="0"/>
          <c:tx>
            <c:strRef>
              <c:f>List1!$B$1</c:f>
              <c:strCache>
                <c:ptCount val="1"/>
                <c:pt idx="0">
                  <c:v>Trauma</c:v>
                </c:pt>
              </c:strCache>
            </c:strRef>
          </c:tx>
          <c:invertIfNegative val="0"/>
          <c:dLbls>
            <c:dLbl>
              <c:idx val="0"/>
              <c:layout>
                <c:manualLayout>
                  <c:x val="2.0887986809310755E-2"/>
                  <c:y val="-2.3809836270466189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1.851821861627672E-2"/>
                  <c:y val="-2.3445819272590939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2.4788601051945001E-3"/>
                  <c:y val="-3.9682539682539706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1.3396593591695491E-2"/>
                  <c:y val="-2.3809523809523812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1.8518518518518583E-2"/>
                  <c:y val="-1.587332833395830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txPr>
              <a:bodyPr/>
              <a:lstStyle/>
              <a:p>
                <a:pPr>
                  <a:defRPr sz="1100" b="1"/>
                </a:pPr>
                <a:endParaRPr lang="cs-CZ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List1!$A$2:$A$5</c:f>
              <c:strCache>
                <c:ptCount val="4"/>
                <c:pt idx="0">
                  <c:v>A</c:v>
                </c:pt>
                <c:pt idx="1">
                  <c:v>B</c:v>
                </c:pt>
                <c:pt idx="2">
                  <c:v>C</c:v>
                </c:pt>
                <c:pt idx="3">
                  <c:v>D</c:v>
                </c:pt>
              </c:strCache>
            </c:strRef>
          </c:cat>
          <c:val>
            <c:numRef>
              <c:f>List1!$B$2:$B$5</c:f>
              <c:numCache>
                <c:formatCode>0%</c:formatCode>
                <c:ptCount val="4"/>
                <c:pt idx="0">
                  <c:v>0.89</c:v>
                </c:pt>
                <c:pt idx="1">
                  <c:v>0.68</c:v>
                </c:pt>
                <c:pt idx="2">
                  <c:v>0.43</c:v>
                </c:pt>
                <c:pt idx="3">
                  <c:v>0.49</c:v>
                </c:pt>
              </c:numCache>
            </c:numRef>
          </c:val>
        </c:ser>
        <c:ser>
          <c:idx val="1"/>
          <c:order val="1"/>
          <c:tx>
            <c:strRef>
              <c:f>List1!$C$1</c:f>
              <c:strCache>
                <c:ptCount val="1"/>
                <c:pt idx="0">
                  <c:v>Onemocnění</c:v>
                </c:pt>
              </c:strCache>
            </c:strRef>
          </c:tx>
          <c:invertIfNegative val="0"/>
          <c:dLbls>
            <c:dLbl>
              <c:idx val="0"/>
              <c:layout>
                <c:manualLayout>
                  <c:x val="2.31481291982812E-2"/>
                  <c:y val="-1.190476190476191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2.0778538969214912E-2"/>
                  <c:y val="-7.9374453193350823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1.6203703703703703E-2"/>
                  <c:y val="-5.952412198475190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1.8354313802084493E-2"/>
                  <c:y val="3.9682539682539706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3.7037037037037056E-2"/>
                  <c:y val="1.190476190476192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txPr>
              <a:bodyPr/>
              <a:lstStyle/>
              <a:p>
                <a:pPr>
                  <a:defRPr sz="1100" b="1"/>
                </a:pPr>
                <a:endParaRPr lang="cs-CZ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List1!$A$2:$A$5</c:f>
              <c:strCache>
                <c:ptCount val="4"/>
                <c:pt idx="0">
                  <c:v>A</c:v>
                </c:pt>
                <c:pt idx="1">
                  <c:v>B</c:v>
                </c:pt>
                <c:pt idx="2">
                  <c:v>C</c:v>
                </c:pt>
                <c:pt idx="3">
                  <c:v>D</c:v>
                </c:pt>
              </c:strCache>
            </c:strRef>
          </c:cat>
          <c:val>
            <c:numRef>
              <c:f>List1!$C$2:$C$5</c:f>
              <c:numCache>
                <c:formatCode>0%</c:formatCode>
                <c:ptCount val="4"/>
                <c:pt idx="0">
                  <c:v>0.1</c:v>
                </c:pt>
                <c:pt idx="1">
                  <c:v>0.22</c:v>
                </c:pt>
                <c:pt idx="2">
                  <c:v>0.54</c:v>
                </c:pt>
                <c:pt idx="3">
                  <c:v>0.45</c:v>
                </c:pt>
              </c:numCache>
            </c:numRef>
          </c:val>
        </c:ser>
        <c:ser>
          <c:idx val="2"/>
          <c:order val="2"/>
          <c:tx>
            <c:strRef>
              <c:f>List1!$D$1</c:f>
              <c:strCache>
                <c:ptCount val="1"/>
                <c:pt idx="0">
                  <c:v>Jiné</c:v>
                </c:pt>
              </c:strCache>
            </c:strRef>
          </c:tx>
          <c:invertIfNegative val="0"/>
          <c:dLbls>
            <c:dLbl>
              <c:idx val="0"/>
              <c:layout>
                <c:manualLayout>
                  <c:x val="2.31481291982812E-2"/>
                  <c:y val="-7.9365079365079413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2.546290652531584E-2"/>
                  <c:y val="-1.19053868266466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1.8518518518518583E-2"/>
                  <c:y val="-3.9682539682538952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1.6203703703703703E-2"/>
                  <c:y val="3.9679415073116814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2.0833288696056319E-2"/>
                  <c:y val="1.5873015873015879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txPr>
              <a:bodyPr/>
              <a:lstStyle/>
              <a:p>
                <a:pPr>
                  <a:defRPr sz="1100" b="1"/>
                </a:pPr>
                <a:endParaRPr lang="cs-CZ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List1!$A$2:$A$5</c:f>
              <c:strCache>
                <c:ptCount val="4"/>
                <c:pt idx="0">
                  <c:v>A</c:v>
                </c:pt>
                <c:pt idx="1">
                  <c:v>B</c:v>
                </c:pt>
                <c:pt idx="2">
                  <c:v>C</c:v>
                </c:pt>
                <c:pt idx="3">
                  <c:v>D</c:v>
                </c:pt>
              </c:strCache>
            </c:strRef>
          </c:cat>
          <c:val>
            <c:numRef>
              <c:f>List1!$D$2:$D$5</c:f>
              <c:numCache>
                <c:formatCode>0%</c:formatCode>
                <c:ptCount val="4"/>
                <c:pt idx="0">
                  <c:v>0.01</c:v>
                </c:pt>
                <c:pt idx="1">
                  <c:v>0.1</c:v>
                </c:pt>
                <c:pt idx="2">
                  <c:v>0.03</c:v>
                </c:pt>
                <c:pt idx="3">
                  <c:v>0.06</c:v>
                </c:pt>
              </c:numCache>
            </c:numRef>
          </c:val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shape val="box"/>
        <c:axId val="215441408"/>
        <c:axId val="215443328"/>
        <c:axId val="0"/>
      </c:bar3DChart>
      <c:catAx>
        <c:axId val="215441408"/>
        <c:scaling>
          <c:orientation val="minMax"/>
        </c:scaling>
        <c:delete val="0"/>
        <c:axPos val="b"/>
        <c:title>
          <c:tx>
            <c:rich>
              <a:bodyPr/>
              <a:lstStyle/>
              <a:p>
                <a:pPr>
                  <a:defRPr sz="1100"/>
                </a:pPr>
                <a:r>
                  <a:rPr lang="cs-CZ" sz="1100"/>
                  <a:t>Letecká záchranná služba</a:t>
                </a:r>
              </a:p>
            </c:rich>
          </c:tx>
          <c:overlay val="0"/>
        </c:title>
        <c:majorTickMark val="out"/>
        <c:minorTickMark val="none"/>
        <c:tickLblPos val="nextTo"/>
        <c:txPr>
          <a:bodyPr/>
          <a:lstStyle/>
          <a:p>
            <a:pPr>
              <a:defRPr b="1"/>
            </a:pPr>
            <a:endParaRPr lang="cs-CZ"/>
          </a:p>
        </c:txPr>
        <c:crossAx val="215443328"/>
        <c:crosses val="autoZero"/>
        <c:auto val="1"/>
        <c:lblAlgn val="ctr"/>
        <c:lblOffset val="100"/>
        <c:noMultiLvlLbl val="0"/>
      </c:catAx>
      <c:valAx>
        <c:axId val="215443328"/>
        <c:scaling>
          <c:orientation val="minMax"/>
        </c:scaling>
        <c:delete val="0"/>
        <c:axPos val="l"/>
        <c:majorGridlines/>
        <c:title>
          <c:tx>
            <c:rich>
              <a:bodyPr rot="0" vert="horz"/>
              <a:lstStyle/>
              <a:p>
                <a:pPr>
                  <a:defRPr/>
                </a:pPr>
                <a:r>
                  <a:rPr lang="cs-CZ"/>
                  <a:t>Relativní četnost</a:t>
                </a:r>
              </a:p>
            </c:rich>
          </c:tx>
          <c:layout>
            <c:manualLayout>
              <c:xMode val="edge"/>
              <c:yMode val="edge"/>
              <c:x val="2.3606007582385652E-2"/>
              <c:y val="4.5731471066117024E-2"/>
            </c:manualLayout>
          </c:layout>
          <c:overlay val="0"/>
        </c:title>
        <c:numFmt formatCode="0%" sourceLinked="1"/>
        <c:majorTickMark val="out"/>
        <c:minorTickMark val="none"/>
        <c:tickLblPos val="nextTo"/>
        <c:txPr>
          <a:bodyPr/>
          <a:lstStyle/>
          <a:p>
            <a:pPr>
              <a:defRPr b="1"/>
            </a:pPr>
            <a:endParaRPr lang="cs-CZ"/>
          </a:p>
        </c:txPr>
        <c:crossAx val="215441408"/>
        <c:crosses val="autoZero"/>
        <c:crossBetween val="between"/>
      </c:valAx>
    </c:plotArea>
    <c:legend>
      <c:legendPos val="t"/>
      <c:layout>
        <c:manualLayout>
          <c:xMode val="edge"/>
          <c:yMode val="edge"/>
          <c:x val="0.29316805226445802"/>
          <c:y val="2.3809523809523808E-2"/>
          <c:w val="0.40010304113726092"/>
          <c:h val="7.6570116235470567E-2"/>
        </c:manualLayout>
      </c:layout>
      <c:overlay val="0"/>
      <c:txPr>
        <a:bodyPr/>
        <a:lstStyle/>
        <a:p>
          <a:pPr>
            <a:defRPr sz="1100" b="1"/>
          </a:pPr>
          <a:endParaRPr lang="cs-CZ"/>
        </a:p>
      </c:txPr>
    </c:legend>
    <c:plotVisOnly val="1"/>
    <c:dispBlanksAs val="gap"/>
    <c:showDLblsOverMax val="0"/>
  </c:chart>
  <c:spPr>
    <a:ln w="15875"/>
  </c:spPr>
  <c:externalData r:id="rId1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cs-CZ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view3D>
      <c:rotX val="15"/>
      <c:rotY val="20"/>
      <c:rAngAx val="1"/>
    </c:view3D>
    <c:floor>
      <c:thickness val="0"/>
    </c:floor>
    <c:sideWall>
      <c:thickness val="0"/>
    </c:sideWall>
    <c:backWall>
      <c:thickness val="0"/>
    </c:backWall>
    <c:plotArea>
      <c:layout>
        <c:manualLayout>
          <c:layoutTarget val="inner"/>
          <c:xMode val="edge"/>
          <c:yMode val="edge"/>
          <c:x val="7.3911472930290503E-2"/>
          <c:y val="0.13962473440819897"/>
          <c:w val="0.90125486009164057"/>
          <c:h val="0.64733595800524935"/>
        </c:manualLayout>
      </c:layout>
      <c:bar3DChart>
        <c:barDir val="col"/>
        <c:grouping val="clustered"/>
        <c:varyColors val="0"/>
        <c:ser>
          <c:idx val="0"/>
          <c:order val="0"/>
          <c:tx>
            <c:strRef>
              <c:f>List1!$B$1</c:f>
              <c:strCache>
                <c:ptCount val="1"/>
                <c:pt idx="0">
                  <c:v>Zásahy přes den</c:v>
                </c:pt>
              </c:strCache>
            </c:strRef>
          </c:tx>
          <c:invertIfNegative val="0"/>
          <c:dLbls>
            <c:dLbl>
              <c:idx val="0"/>
              <c:layout>
                <c:manualLayout>
                  <c:x val="1.8358406973340104E-2"/>
                  <c:y val="-2.777777777777781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1.6203619253209803E-2"/>
                  <c:y val="-3.1703537057867791E-2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7</a:t>
                    </a:r>
                    <a:r>
                      <a:rPr lang="cs-CZ"/>
                      <a:t>8</a:t>
                    </a:r>
                    <a:r>
                      <a:rPr lang="en-US"/>
                      <a:t>%</a:t>
                    </a: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2.2933682617280415E-2"/>
                  <c:y val="-1.979877515310587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1.8566802779441248E-2"/>
                  <c:y val="-1.9910011248593939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1.3467853335435539E-2"/>
                  <c:y val="-3.9798437658200752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txPr>
              <a:bodyPr/>
              <a:lstStyle/>
              <a:p>
                <a:pPr>
                  <a:defRPr sz="1100" b="1"/>
                </a:pPr>
                <a:endParaRPr lang="cs-CZ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List1!$A$2:$A$5</c:f>
              <c:strCache>
                <c:ptCount val="4"/>
                <c:pt idx="0">
                  <c:v>A</c:v>
                </c:pt>
                <c:pt idx="1">
                  <c:v>B</c:v>
                </c:pt>
                <c:pt idx="2">
                  <c:v>C</c:v>
                </c:pt>
                <c:pt idx="3">
                  <c:v>D</c:v>
                </c:pt>
              </c:strCache>
            </c:strRef>
          </c:cat>
          <c:val>
            <c:numRef>
              <c:f>List1!$B$2:$B$5</c:f>
              <c:numCache>
                <c:formatCode>0%</c:formatCode>
                <c:ptCount val="4"/>
                <c:pt idx="0">
                  <c:v>0.79</c:v>
                </c:pt>
                <c:pt idx="1">
                  <c:v>0.78</c:v>
                </c:pt>
                <c:pt idx="2">
                  <c:v>0.92</c:v>
                </c:pt>
                <c:pt idx="3">
                  <c:v>0.83</c:v>
                </c:pt>
              </c:numCache>
            </c:numRef>
          </c:val>
        </c:ser>
        <c:ser>
          <c:idx val="1"/>
          <c:order val="1"/>
          <c:tx>
            <c:strRef>
              <c:f>List1!$C$1</c:f>
              <c:strCache>
                <c:ptCount val="1"/>
                <c:pt idx="0">
                  <c:v>Zásahy přes noc</c:v>
                </c:pt>
              </c:strCache>
            </c:strRef>
          </c:tx>
          <c:invertIfNegative val="0"/>
          <c:dLbls>
            <c:dLbl>
              <c:idx val="0"/>
              <c:layout>
                <c:manualLayout>
                  <c:x val="2.3144236035536208E-2"/>
                  <c:y val="-1.5953005874265645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2.0938515815604349E-2"/>
                  <c:y val="-2.777809023872016E-2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2</a:t>
                    </a:r>
                    <a:r>
                      <a:rPr lang="cs-CZ"/>
                      <a:t>2</a:t>
                    </a:r>
                    <a:r>
                      <a:rPr lang="en-US"/>
                      <a:t>%</a:t>
                    </a: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2.0780674536826544E-2"/>
                  <c:y val="-3.5730533683289538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2.3097409467505124E-2"/>
                  <c:y val="-3.960504936882889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2.0675503448055278E-2"/>
                  <c:y val="-3.957880635840398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txPr>
              <a:bodyPr/>
              <a:lstStyle/>
              <a:p>
                <a:pPr>
                  <a:defRPr sz="1100" b="1"/>
                </a:pPr>
                <a:endParaRPr lang="cs-CZ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List1!$A$2:$A$5</c:f>
              <c:strCache>
                <c:ptCount val="4"/>
                <c:pt idx="0">
                  <c:v>A</c:v>
                </c:pt>
                <c:pt idx="1">
                  <c:v>B</c:v>
                </c:pt>
                <c:pt idx="2">
                  <c:v>C</c:v>
                </c:pt>
                <c:pt idx="3">
                  <c:v>D</c:v>
                </c:pt>
              </c:strCache>
            </c:strRef>
          </c:cat>
          <c:val>
            <c:numRef>
              <c:f>List1!$C$2:$C$5</c:f>
              <c:numCache>
                <c:formatCode>0%</c:formatCode>
                <c:ptCount val="4"/>
                <c:pt idx="0">
                  <c:v>0.21</c:v>
                </c:pt>
                <c:pt idx="1">
                  <c:v>0.22</c:v>
                </c:pt>
                <c:pt idx="2">
                  <c:v>0.08</c:v>
                </c:pt>
                <c:pt idx="3">
                  <c:v>0.17</c:v>
                </c:pt>
              </c:numCache>
            </c:numRef>
          </c:val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shape val="box"/>
        <c:axId val="215535616"/>
        <c:axId val="215537536"/>
        <c:axId val="0"/>
      </c:bar3DChart>
      <c:catAx>
        <c:axId val="215535616"/>
        <c:scaling>
          <c:orientation val="minMax"/>
        </c:scaling>
        <c:delete val="0"/>
        <c:axPos val="b"/>
        <c:title>
          <c:tx>
            <c:rich>
              <a:bodyPr/>
              <a:lstStyle/>
              <a:p>
                <a:pPr>
                  <a:defRPr/>
                </a:pPr>
                <a:r>
                  <a:rPr lang="cs-CZ" sz="1100"/>
                  <a:t>Letecká záchranná služba</a:t>
                </a:r>
              </a:p>
            </c:rich>
          </c:tx>
          <c:overlay val="0"/>
        </c:title>
        <c:majorTickMark val="out"/>
        <c:minorTickMark val="none"/>
        <c:tickLblPos val="nextTo"/>
        <c:txPr>
          <a:bodyPr/>
          <a:lstStyle/>
          <a:p>
            <a:pPr>
              <a:defRPr b="1"/>
            </a:pPr>
            <a:endParaRPr lang="cs-CZ"/>
          </a:p>
        </c:txPr>
        <c:crossAx val="215537536"/>
        <c:crosses val="autoZero"/>
        <c:auto val="1"/>
        <c:lblAlgn val="ctr"/>
        <c:lblOffset val="100"/>
        <c:noMultiLvlLbl val="0"/>
      </c:catAx>
      <c:valAx>
        <c:axId val="215537536"/>
        <c:scaling>
          <c:orientation val="minMax"/>
        </c:scaling>
        <c:delete val="0"/>
        <c:axPos val="l"/>
        <c:majorGridlines/>
        <c:title>
          <c:tx>
            <c:rich>
              <a:bodyPr rot="0" vert="horz"/>
              <a:lstStyle/>
              <a:p>
                <a:pPr>
                  <a:defRPr/>
                </a:pPr>
                <a:r>
                  <a:rPr lang="cs-CZ"/>
                  <a:t>Relativní četnost</a:t>
                </a:r>
              </a:p>
            </c:rich>
          </c:tx>
          <c:layout>
            <c:manualLayout>
              <c:xMode val="edge"/>
              <c:yMode val="edge"/>
              <c:x val="1.8289406532516771E-2"/>
              <c:y val="2.6138920134983149E-2"/>
            </c:manualLayout>
          </c:layout>
          <c:overlay val="0"/>
        </c:title>
        <c:numFmt formatCode="0%" sourceLinked="1"/>
        <c:majorTickMark val="out"/>
        <c:minorTickMark val="none"/>
        <c:tickLblPos val="nextTo"/>
        <c:txPr>
          <a:bodyPr/>
          <a:lstStyle/>
          <a:p>
            <a:pPr>
              <a:defRPr b="1"/>
            </a:pPr>
            <a:endParaRPr lang="cs-CZ"/>
          </a:p>
        </c:txPr>
        <c:crossAx val="215535616"/>
        <c:crosses val="autoZero"/>
        <c:crossBetween val="between"/>
      </c:valAx>
    </c:plotArea>
    <c:legend>
      <c:legendPos val="t"/>
      <c:overlay val="0"/>
      <c:txPr>
        <a:bodyPr/>
        <a:lstStyle/>
        <a:p>
          <a:pPr>
            <a:defRPr sz="1100" b="1"/>
          </a:pPr>
          <a:endParaRPr lang="cs-CZ"/>
        </a:p>
      </c:txPr>
    </c:legend>
    <c:plotVisOnly val="1"/>
    <c:dispBlanksAs val="gap"/>
    <c:showDLblsOverMax val="0"/>
  </c:chart>
  <c:spPr>
    <a:ln w="15875"/>
  </c:spPr>
  <c:externalData r:id="rId1">
    <c:autoUpdate val="0"/>
  </c:externalData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cs-CZ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view3D>
      <c:rotX val="15"/>
      <c:rotY val="20"/>
      <c:rAngAx val="1"/>
    </c:view3D>
    <c:floor>
      <c:thickness val="0"/>
    </c:floor>
    <c:sideWall>
      <c:thickness val="0"/>
    </c:sideWall>
    <c:backWall>
      <c:thickness val="0"/>
    </c:backWall>
    <c:plotArea>
      <c:layout>
        <c:manualLayout>
          <c:layoutTarget val="inner"/>
          <c:xMode val="edge"/>
          <c:yMode val="edge"/>
          <c:x val="8.4387130180156047E-2"/>
          <c:y val="0.13962473440819897"/>
          <c:w val="0.89014980270323363"/>
          <c:h val="0.64417810605533365"/>
        </c:manualLayout>
      </c:layout>
      <c:bar3DChart>
        <c:barDir val="col"/>
        <c:grouping val="clustered"/>
        <c:varyColors val="0"/>
        <c:ser>
          <c:idx val="0"/>
          <c:order val="0"/>
          <c:tx>
            <c:strRef>
              <c:f>List1!$B$1</c:f>
              <c:strCache>
                <c:ptCount val="1"/>
                <c:pt idx="0">
                  <c:v>NACA 0 - 3</c:v>
                </c:pt>
              </c:strCache>
            </c:strRef>
          </c:tx>
          <c:invertIfNegative val="0"/>
          <c:dLbls>
            <c:dLbl>
              <c:idx val="0"/>
              <c:layout>
                <c:manualLayout>
                  <c:x val="1.3888663962207571E-2"/>
                  <c:y val="3.5726784151980991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-4.2469321236529292E-3"/>
                  <c:y val="8.2114735658042736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1.5711726846665365E-2"/>
                  <c:y val="7.5409323834520915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1.173814737730052E-2"/>
                  <c:y val="-2.3809523809523812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1.3888888888889185E-2"/>
                  <c:y val="-4.0627885503231799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txPr>
              <a:bodyPr/>
              <a:lstStyle/>
              <a:p>
                <a:pPr>
                  <a:defRPr sz="1100" b="1"/>
                </a:pPr>
                <a:endParaRPr lang="cs-CZ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List1!$A$2:$A$5</c:f>
              <c:strCache>
                <c:ptCount val="4"/>
                <c:pt idx="0">
                  <c:v>A</c:v>
                </c:pt>
                <c:pt idx="1">
                  <c:v>B</c:v>
                </c:pt>
                <c:pt idx="2">
                  <c:v>C</c:v>
                </c:pt>
                <c:pt idx="3">
                  <c:v>D</c:v>
                </c:pt>
              </c:strCache>
            </c:strRef>
          </c:cat>
          <c:val>
            <c:numRef>
              <c:f>List1!$B$2:$B$5</c:f>
              <c:numCache>
                <c:formatCode>0%</c:formatCode>
                <c:ptCount val="4"/>
                <c:pt idx="0">
                  <c:v>0.52</c:v>
                </c:pt>
                <c:pt idx="1">
                  <c:v>0.17</c:v>
                </c:pt>
                <c:pt idx="2">
                  <c:v>0.66</c:v>
                </c:pt>
                <c:pt idx="3">
                  <c:v>0.48</c:v>
                </c:pt>
              </c:numCache>
            </c:numRef>
          </c:val>
        </c:ser>
        <c:ser>
          <c:idx val="1"/>
          <c:order val="1"/>
          <c:tx>
            <c:strRef>
              <c:f>List1!$C$1</c:f>
              <c:strCache>
                <c:ptCount val="1"/>
                <c:pt idx="0">
                  <c:v>NACA 4 - 5</c:v>
                </c:pt>
              </c:strCache>
            </c:strRef>
          </c:tx>
          <c:invertIfNegative val="0"/>
          <c:dLbls>
            <c:dLbl>
              <c:idx val="0"/>
              <c:layout>
                <c:manualLayout>
                  <c:x val="2.0833351871246644E-2"/>
                  <c:y val="8.2458442694663262E-4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1.4217007482495018E-2"/>
                  <c:y val="5.0674915635545584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2.2929411482057242E-2"/>
                  <c:y val="-3.9682539682539706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1.8518574544212053E-2"/>
                  <c:y val="-1.0530558680164986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2.5368436088346068E-2"/>
                  <c:y val="-1.4054614854559016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txPr>
              <a:bodyPr/>
              <a:lstStyle/>
              <a:p>
                <a:pPr>
                  <a:defRPr sz="1100" b="1"/>
                </a:pPr>
                <a:endParaRPr lang="cs-CZ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List1!$A$2:$A$5</c:f>
              <c:strCache>
                <c:ptCount val="4"/>
                <c:pt idx="0">
                  <c:v>A</c:v>
                </c:pt>
                <c:pt idx="1">
                  <c:v>B</c:v>
                </c:pt>
                <c:pt idx="2">
                  <c:v>C</c:v>
                </c:pt>
                <c:pt idx="3">
                  <c:v>D</c:v>
                </c:pt>
              </c:strCache>
            </c:strRef>
          </c:cat>
          <c:val>
            <c:numRef>
              <c:f>List1!$C$2:$C$5</c:f>
              <c:numCache>
                <c:formatCode>0%</c:formatCode>
                <c:ptCount val="4"/>
                <c:pt idx="0">
                  <c:v>0.44</c:v>
                </c:pt>
                <c:pt idx="1">
                  <c:v>0.66</c:v>
                </c:pt>
                <c:pt idx="2">
                  <c:v>0.21</c:v>
                </c:pt>
                <c:pt idx="3">
                  <c:v>0.24</c:v>
                </c:pt>
              </c:numCache>
            </c:numRef>
          </c:val>
        </c:ser>
        <c:ser>
          <c:idx val="2"/>
          <c:order val="2"/>
          <c:tx>
            <c:strRef>
              <c:f>List1!$D$1</c:f>
              <c:strCache>
                <c:ptCount val="1"/>
                <c:pt idx="0">
                  <c:v>NACA 6</c:v>
                </c:pt>
              </c:strCache>
            </c:strRef>
          </c:tx>
          <c:invertIfNegative val="0"/>
          <c:dLbls>
            <c:dLbl>
              <c:idx val="0"/>
              <c:layout>
                <c:manualLayout>
                  <c:x val="1.1792782315364615E-2"/>
                  <c:y val="-1.6543557055368099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2.3063774277622011E-2"/>
                  <c:y val="-1.784714410698662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1.1956865093524519E-2"/>
                  <c:y val="-1.2300337457817782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2.2984046420121348E-2"/>
                  <c:y val="-4.332770903637045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3.0045351473923419E-2"/>
                  <c:y val="-3.5975812757918925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txPr>
              <a:bodyPr/>
              <a:lstStyle/>
              <a:p>
                <a:pPr>
                  <a:defRPr sz="1100" b="1"/>
                </a:pPr>
                <a:endParaRPr lang="cs-CZ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List1!$A$2:$A$5</c:f>
              <c:strCache>
                <c:ptCount val="4"/>
                <c:pt idx="0">
                  <c:v>A</c:v>
                </c:pt>
                <c:pt idx="1">
                  <c:v>B</c:v>
                </c:pt>
                <c:pt idx="2">
                  <c:v>C</c:v>
                </c:pt>
                <c:pt idx="3">
                  <c:v>D</c:v>
                </c:pt>
              </c:strCache>
            </c:strRef>
          </c:cat>
          <c:val>
            <c:numRef>
              <c:f>List1!$D$2:$D$5</c:f>
              <c:numCache>
                <c:formatCode>0%</c:formatCode>
                <c:ptCount val="4"/>
                <c:pt idx="0">
                  <c:v>0.01</c:v>
                </c:pt>
                <c:pt idx="1">
                  <c:v>0.1</c:v>
                </c:pt>
                <c:pt idx="2">
                  <c:v>0.05</c:v>
                </c:pt>
                <c:pt idx="3">
                  <c:v>0.26</c:v>
                </c:pt>
              </c:numCache>
            </c:numRef>
          </c:val>
        </c:ser>
        <c:ser>
          <c:idx val="3"/>
          <c:order val="3"/>
          <c:tx>
            <c:strRef>
              <c:f>List1!$E$1</c:f>
              <c:strCache>
                <c:ptCount val="1"/>
                <c:pt idx="0">
                  <c:v>NACA 7</c:v>
                </c:pt>
              </c:strCache>
            </c:strRef>
          </c:tx>
          <c:invertIfNegative val="0"/>
          <c:dLbls>
            <c:dLbl>
              <c:idx val="0"/>
              <c:layout>
                <c:manualLayout>
                  <c:x val="1.4107559642399212E-2"/>
                  <c:y val="-1.1080177477815289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1.8518574544212053E-2"/>
                  <c:y val="9.3107111611049342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1.1916823200806543E-2"/>
                  <c:y val="-2.5135608048993882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2.092767277409345E-2"/>
                  <c:y val="-9.2910261217347811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2.0833333333333412E-2"/>
                  <c:y val="-2.585410895660203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txPr>
              <a:bodyPr/>
              <a:lstStyle/>
              <a:p>
                <a:pPr>
                  <a:defRPr sz="1100" b="1"/>
                </a:pPr>
                <a:endParaRPr lang="cs-CZ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List1!$A$2:$A$5</c:f>
              <c:strCache>
                <c:ptCount val="4"/>
                <c:pt idx="0">
                  <c:v>A</c:v>
                </c:pt>
                <c:pt idx="1">
                  <c:v>B</c:v>
                </c:pt>
                <c:pt idx="2">
                  <c:v>C</c:v>
                </c:pt>
                <c:pt idx="3">
                  <c:v>D</c:v>
                </c:pt>
              </c:strCache>
            </c:strRef>
          </c:cat>
          <c:val>
            <c:numRef>
              <c:f>List1!$E$2:$E$5</c:f>
              <c:numCache>
                <c:formatCode>0%</c:formatCode>
                <c:ptCount val="4"/>
                <c:pt idx="0">
                  <c:v>0.03</c:v>
                </c:pt>
                <c:pt idx="1">
                  <c:v>7.0000000000000007E-2</c:v>
                </c:pt>
                <c:pt idx="2">
                  <c:v>0.08</c:v>
                </c:pt>
                <c:pt idx="3">
                  <c:v>0.02</c:v>
                </c:pt>
              </c:numCache>
            </c:numRef>
          </c:val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shape val="box"/>
        <c:axId val="215607552"/>
        <c:axId val="215654784"/>
        <c:axId val="0"/>
      </c:bar3DChart>
      <c:catAx>
        <c:axId val="215607552"/>
        <c:scaling>
          <c:orientation val="minMax"/>
        </c:scaling>
        <c:delete val="0"/>
        <c:axPos val="b"/>
        <c:title>
          <c:tx>
            <c:rich>
              <a:bodyPr/>
              <a:lstStyle/>
              <a:p>
                <a:pPr>
                  <a:defRPr sz="1100"/>
                </a:pPr>
                <a:r>
                  <a:rPr lang="cs-CZ" sz="1100"/>
                  <a:t>Letecká záchranná služba</a:t>
                </a:r>
              </a:p>
            </c:rich>
          </c:tx>
          <c:layout>
            <c:manualLayout>
              <c:xMode val="edge"/>
              <c:yMode val="edge"/>
              <c:x val="0.38177263556341667"/>
              <c:y val="0.89232589289170761"/>
            </c:manualLayout>
          </c:layout>
          <c:overlay val="0"/>
        </c:title>
        <c:majorTickMark val="out"/>
        <c:minorTickMark val="none"/>
        <c:tickLblPos val="nextTo"/>
        <c:txPr>
          <a:bodyPr/>
          <a:lstStyle/>
          <a:p>
            <a:pPr>
              <a:defRPr b="1"/>
            </a:pPr>
            <a:endParaRPr lang="cs-CZ"/>
          </a:p>
        </c:txPr>
        <c:crossAx val="215654784"/>
        <c:crosses val="autoZero"/>
        <c:auto val="1"/>
        <c:lblAlgn val="ctr"/>
        <c:lblOffset val="100"/>
        <c:noMultiLvlLbl val="0"/>
      </c:catAx>
      <c:valAx>
        <c:axId val="215654784"/>
        <c:scaling>
          <c:orientation val="minMax"/>
        </c:scaling>
        <c:delete val="0"/>
        <c:axPos val="l"/>
        <c:majorGridlines/>
        <c:title>
          <c:tx>
            <c:rich>
              <a:bodyPr rot="0" vert="horz"/>
              <a:lstStyle/>
              <a:p>
                <a:pPr>
                  <a:defRPr/>
                </a:pPr>
                <a:r>
                  <a:rPr lang="cs-CZ"/>
                  <a:t>Relativní</a:t>
                </a:r>
                <a:r>
                  <a:rPr lang="cs-CZ" baseline="0"/>
                  <a:t> četnost</a:t>
                </a:r>
                <a:endParaRPr lang="cs-CZ"/>
              </a:p>
            </c:rich>
          </c:tx>
          <c:layout>
            <c:manualLayout>
              <c:xMode val="edge"/>
              <c:yMode val="edge"/>
              <c:x val="1.9635097696121321E-2"/>
              <c:y val="3.3802024746906599E-2"/>
            </c:manualLayout>
          </c:layout>
          <c:overlay val="0"/>
        </c:title>
        <c:numFmt formatCode="0%" sourceLinked="1"/>
        <c:majorTickMark val="out"/>
        <c:minorTickMark val="none"/>
        <c:tickLblPos val="nextTo"/>
        <c:txPr>
          <a:bodyPr/>
          <a:lstStyle/>
          <a:p>
            <a:pPr>
              <a:defRPr b="1"/>
            </a:pPr>
            <a:endParaRPr lang="cs-CZ"/>
          </a:p>
        </c:txPr>
        <c:crossAx val="215607552"/>
        <c:crosses val="autoZero"/>
        <c:crossBetween val="between"/>
      </c:valAx>
    </c:plotArea>
    <c:legend>
      <c:legendPos val="t"/>
      <c:layout>
        <c:manualLayout>
          <c:xMode val="edge"/>
          <c:yMode val="edge"/>
          <c:x val="0.20884603710250843"/>
          <c:y val="2.8985507246376812E-2"/>
          <c:w val="0.58230774724587997"/>
          <c:h val="6.9911845258473132E-2"/>
        </c:manualLayout>
      </c:layout>
      <c:overlay val="0"/>
      <c:txPr>
        <a:bodyPr/>
        <a:lstStyle/>
        <a:p>
          <a:pPr>
            <a:defRPr sz="1100" b="1"/>
          </a:pPr>
          <a:endParaRPr lang="cs-CZ"/>
        </a:p>
      </c:txPr>
    </c:legend>
    <c:plotVisOnly val="1"/>
    <c:dispBlanksAs val="gap"/>
    <c:showDLblsOverMax val="0"/>
  </c:chart>
  <c:spPr>
    <a:ln w="15875"/>
  </c:spPr>
  <c:externalData r:id="rId1">
    <c:autoUpdate val="0"/>
  </c:externalData>
</c:chartSpace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28F280-DFF0-4FE6-AA74-132072FB53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50</Words>
  <Characters>298</Characters>
  <Application>Microsoft Office Word</Application>
  <DocSecurity>0</DocSecurity>
  <Lines>2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347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polakova</dc:creator>
  <cp:lastModifiedBy>polakova</cp:lastModifiedBy>
  <cp:revision>1</cp:revision>
  <dcterms:created xsi:type="dcterms:W3CDTF">2012-05-07T00:22:00Z</dcterms:created>
  <dcterms:modified xsi:type="dcterms:W3CDTF">2012-05-07T00:28:00Z</dcterms:modified>
</cp:coreProperties>
</file>